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F2BB9" w14:textId="2C688E2E" w:rsidR="00B61A01" w:rsidRPr="00B61A01" w:rsidRDefault="00F917EE" w:rsidP="00B61A01">
      <w:pPr>
        <w:spacing w:after="0"/>
        <w:rPr>
          <w:b/>
          <w:bCs/>
        </w:rPr>
      </w:pPr>
      <w:r>
        <w:rPr>
          <w:b/>
          <w:bCs/>
        </w:rPr>
        <w:t>April 3, 2025</w:t>
      </w:r>
    </w:p>
    <w:p w14:paraId="578DF1D1" w14:textId="77777777" w:rsidR="00B61A01" w:rsidRDefault="00B61A01" w:rsidP="00B61A01">
      <w:pPr>
        <w:spacing w:after="0"/>
        <w:rPr>
          <w:b/>
          <w:bCs/>
        </w:rPr>
      </w:pPr>
    </w:p>
    <w:p w14:paraId="20BC023F" w14:textId="0FED67D1" w:rsidR="193E7BA9" w:rsidRDefault="193E7BA9" w:rsidP="624C803C">
      <w:pPr>
        <w:spacing w:after="0"/>
        <w:rPr>
          <w:rFonts w:ascii="Aptos" w:eastAsia="Aptos" w:hAnsi="Aptos" w:cs="Aptos"/>
        </w:rPr>
      </w:pPr>
      <w:r w:rsidRPr="624C803C">
        <w:rPr>
          <w:b/>
          <w:bCs/>
        </w:rPr>
        <w:t>S</w:t>
      </w:r>
      <w:r w:rsidR="00B61A01" w:rsidRPr="624C803C">
        <w:rPr>
          <w:b/>
          <w:bCs/>
        </w:rPr>
        <w:t xml:space="preserve">.B. No. </w:t>
      </w:r>
      <w:r w:rsidR="133D37A3" w:rsidRPr="624C803C">
        <w:rPr>
          <w:b/>
          <w:bCs/>
        </w:rPr>
        <w:t>1551</w:t>
      </w:r>
      <w:r w:rsidR="133D37A3">
        <w:t xml:space="preserve"> </w:t>
      </w:r>
      <w:r w:rsidR="0D5FC6F5" w:rsidRPr="624C803C">
        <w:rPr>
          <w:rFonts w:ascii="Aptos" w:eastAsia="Aptos" w:hAnsi="Aptos" w:cs="Aptos"/>
          <w:sz w:val="24"/>
          <w:szCs w:val="24"/>
        </w:rPr>
        <w:t>AN ACT CONCERNING THE DEPARTMENT OF ECONOMIC AND COMMUNITY DEVELOPMENT'S SPENDING ON ARTS AND HUMANITIES ACTIVITIES</w:t>
      </w:r>
    </w:p>
    <w:p w14:paraId="3B4464EF" w14:textId="77777777" w:rsidR="00B61A01" w:rsidRDefault="00B61A01" w:rsidP="00B61A01">
      <w:pPr>
        <w:spacing w:after="0"/>
      </w:pPr>
    </w:p>
    <w:p w14:paraId="66F463FD" w14:textId="77777777" w:rsidR="00B61A01" w:rsidRDefault="00B61A01" w:rsidP="00B61A01">
      <w:pPr>
        <w:spacing w:after="0"/>
      </w:pPr>
    </w:p>
    <w:p w14:paraId="2A29F2A3" w14:textId="77777777" w:rsidR="00B61A01" w:rsidRDefault="00B61A01" w:rsidP="00B61A01">
      <w:pPr>
        <w:spacing w:after="0"/>
      </w:pPr>
      <w:r w:rsidRPr="00B61A01">
        <w:t>Dear Members of the Appropriations Committee, Senator Osten, Representative Walker, Senator Somers, Representative Nuccio, and esteemed Connecticut General Assembly members of the Appropriations Committee</w:t>
      </w:r>
      <w:r>
        <w:t>:</w:t>
      </w:r>
      <w:r w:rsidRPr="00B61A01">
        <w:t xml:space="preserve"> </w:t>
      </w:r>
    </w:p>
    <w:p w14:paraId="1F6F46C3" w14:textId="77777777" w:rsidR="00B61A01" w:rsidRDefault="00B61A01" w:rsidP="00B61A01">
      <w:pPr>
        <w:spacing w:after="0"/>
      </w:pPr>
    </w:p>
    <w:p w14:paraId="53B05075" w14:textId="77777777" w:rsidR="00B61A01" w:rsidRDefault="00B61A01" w:rsidP="00B61A01">
      <w:pPr>
        <w:spacing w:after="0"/>
      </w:pPr>
      <w:r w:rsidRPr="00B61A01">
        <w:t xml:space="preserve">I am a resident of </w:t>
      </w:r>
      <w:r w:rsidRPr="00B61A01">
        <w:rPr>
          <w:highlight w:val="yellow"/>
        </w:rPr>
        <w:t>[Town]</w:t>
      </w:r>
      <w:r w:rsidRPr="00B61A01">
        <w:t xml:space="preserve"> and </w:t>
      </w:r>
      <w:r w:rsidRPr="00B61A01">
        <w:rPr>
          <w:highlight w:val="yellow"/>
        </w:rPr>
        <w:t>[insert professional relationship to CTH].</w:t>
      </w:r>
      <w:r w:rsidRPr="00B61A01">
        <w:t xml:space="preserve"> </w:t>
      </w:r>
    </w:p>
    <w:p w14:paraId="0BFCDFCD" w14:textId="77777777" w:rsidR="00B61A01" w:rsidRDefault="00B61A01" w:rsidP="00B61A01">
      <w:pPr>
        <w:spacing w:after="0"/>
      </w:pPr>
    </w:p>
    <w:p w14:paraId="57D76976" w14:textId="5C7A42D4" w:rsidR="00B61A01" w:rsidRDefault="00B61A01" w:rsidP="00B61A01">
      <w:pPr>
        <w:spacing w:after="0"/>
      </w:pPr>
      <w:r w:rsidRPr="00B61A01">
        <w:t>I am submi</w:t>
      </w:r>
      <w:r>
        <w:t>tti</w:t>
      </w:r>
      <w:r w:rsidRPr="00B61A01">
        <w:t>ng tes</w:t>
      </w:r>
      <w:r>
        <w:t>tim</w:t>
      </w:r>
      <w:r w:rsidRPr="00B61A01">
        <w:t xml:space="preserve">ony </w:t>
      </w:r>
      <w:r w:rsidR="2D979F11">
        <w:t xml:space="preserve">in support of SB 1551 </w:t>
      </w:r>
      <w:r>
        <w:t>with</w:t>
      </w:r>
      <w:r w:rsidRPr="00B61A01">
        <w:t xml:space="preserve"> respect to </w:t>
      </w:r>
      <w:r>
        <w:t>the need for increased investment in statewide arts, culture, and tourism infrastructure</w:t>
      </w:r>
      <w:r w:rsidR="003112DE">
        <w:t>, specifically at least $5M to CT Humanities, $5M to CT Office of the Arts, and $12M to CT Office of Tourism</w:t>
      </w:r>
      <w:r>
        <w:t xml:space="preserve">. </w:t>
      </w:r>
      <w:r w:rsidR="00542561">
        <w:t xml:space="preserve">I also support HB 7176 which also addresses humanities, arts, and tourism funding. </w:t>
      </w:r>
    </w:p>
    <w:p w14:paraId="58A5016E" w14:textId="77777777" w:rsidR="00B61A01" w:rsidRDefault="00B61A01" w:rsidP="00B61A01">
      <w:pPr>
        <w:spacing w:after="0"/>
      </w:pPr>
    </w:p>
    <w:p w14:paraId="20A6DE94" w14:textId="7340ED20" w:rsidR="00B61A01" w:rsidRPr="00B61A01" w:rsidRDefault="00B61A01" w:rsidP="00B61A01">
      <w:pPr>
        <w:spacing w:after="0"/>
        <w:rPr>
          <w:highlight w:val="yellow"/>
        </w:rPr>
      </w:pPr>
      <w:r w:rsidRPr="00B61A01">
        <w:rPr>
          <w:highlight w:val="yellow"/>
        </w:rPr>
        <w:t>[insert 150-250 words to help us demonstrate how the cultural sector contributes to Connecticut’s success in 1-2 of the following ways:</w:t>
      </w:r>
    </w:p>
    <w:p w14:paraId="3CB59A6C" w14:textId="77777777" w:rsidR="00B61A01" w:rsidRPr="00B61A01" w:rsidRDefault="00B61A01" w:rsidP="00B61A01">
      <w:pPr>
        <w:spacing w:after="0"/>
        <w:rPr>
          <w:highlight w:val="yellow"/>
        </w:rPr>
      </w:pPr>
    </w:p>
    <w:p w14:paraId="69A355A2" w14:textId="3074F1CE" w:rsidR="006851C1" w:rsidRPr="006851C1" w:rsidRDefault="006851C1" w:rsidP="006851C1">
      <w:pPr>
        <w:pStyle w:val="ListParagraph"/>
        <w:numPr>
          <w:ilvl w:val="0"/>
          <w:numId w:val="3"/>
        </w:numPr>
        <w:spacing w:after="0"/>
      </w:pPr>
      <w:r w:rsidRPr="006851C1">
        <w:rPr>
          <w:b/>
          <w:bCs/>
          <w:highlight w:val="yellow"/>
        </w:rPr>
        <w:t>Federal Funding Threats:</w:t>
      </w:r>
      <w:r w:rsidRPr="006851C1">
        <w:rPr>
          <w:highlight w:val="yellow"/>
        </w:rPr>
        <w:t xml:space="preserve"> Federal funding from the Institute of Museum and Library Services has been suspended, and </w:t>
      </w:r>
      <w:r>
        <w:rPr>
          <w:highlight w:val="yellow"/>
        </w:rPr>
        <w:t xml:space="preserve">funding to the </w:t>
      </w:r>
      <w:r w:rsidRPr="006851C1">
        <w:rPr>
          <w:highlight w:val="yellow"/>
        </w:rPr>
        <w:t xml:space="preserve">National Endowment for the Humanities and National Endowment for the Arts may be threatened. This could have a </w:t>
      </w:r>
      <w:r>
        <w:rPr>
          <w:highlight w:val="yellow"/>
        </w:rPr>
        <w:t>damaging</w:t>
      </w:r>
      <w:r w:rsidRPr="006851C1">
        <w:rPr>
          <w:highlight w:val="yellow"/>
        </w:rPr>
        <w:t xml:space="preserve"> impact on CT’s cultural sector, making state funding even more critical.</w:t>
      </w:r>
    </w:p>
    <w:p w14:paraId="4D84643F" w14:textId="77777777" w:rsidR="006851C1" w:rsidRPr="006851C1" w:rsidRDefault="00B61A01" w:rsidP="006851C1">
      <w:pPr>
        <w:pStyle w:val="ListParagraph"/>
        <w:numPr>
          <w:ilvl w:val="0"/>
          <w:numId w:val="3"/>
        </w:numPr>
        <w:spacing w:after="0"/>
      </w:pPr>
      <w:r w:rsidRPr="006851C1">
        <w:rPr>
          <w:b/>
          <w:bCs/>
          <w:highlight w:val="yellow"/>
        </w:rPr>
        <w:t>Workforce Development:</w:t>
      </w:r>
      <w:r w:rsidRPr="006851C1">
        <w:rPr>
          <w:highlight w:val="yellow"/>
        </w:rPr>
        <w:t xml:space="preserve"> Investment in CTH helps retain jobs and hire new staff members, keeping CT residents employed and bringing in talent from other states; </w:t>
      </w:r>
    </w:p>
    <w:p w14:paraId="2CDEA858" w14:textId="77777777" w:rsidR="006851C1" w:rsidRPr="006851C1" w:rsidRDefault="00B61A01" w:rsidP="006851C1">
      <w:pPr>
        <w:pStyle w:val="ListParagraph"/>
        <w:numPr>
          <w:ilvl w:val="0"/>
          <w:numId w:val="3"/>
        </w:numPr>
        <w:spacing w:after="0"/>
      </w:pPr>
      <w:r w:rsidRPr="006851C1">
        <w:rPr>
          <w:b/>
          <w:bCs/>
          <w:highlight w:val="yellow"/>
        </w:rPr>
        <w:t xml:space="preserve">Economic Development: </w:t>
      </w:r>
      <w:r w:rsidRPr="006851C1">
        <w:rPr>
          <w:highlight w:val="yellow"/>
        </w:rPr>
        <w:t xml:space="preserve">Our support brings dollars into cultural organizations, restaurants, hotels, and other businesses (see our AEP6 Connecticut calculator), supporting local economies; </w:t>
      </w:r>
    </w:p>
    <w:p w14:paraId="3916FD8B" w14:textId="77777777" w:rsidR="006851C1" w:rsidRPr="006851C1" w:rsidRDefault="00B61A01" w:rsidP="006851C1">
      <w:pPr>
        <w:pStyle w:val="ListParagraph"/>
        <w:numPr>
          <w:ilvl w:val="0"/>
          <w:numId w:val="3"/>
        </w:numPr>
        <w:spacing w:after="0"/>
      </w:pPr>
      <w:r w:rsidRPr="006851C1">
        <w:rPr>
          <w:b/>
          <w:bCs/>
          <w:highlight w:val="yellow"/>
        </w:rPr>
        <w:t xml:space="preserve">Educational Attainment: </w:t>
      </w:r>
      <w:r w:rsidRPr="006851C1">
        <w:rPr>
          <w:highlight w:val="yellow"/>
        </w:rPr>
        <w:t xml:space="preserve">Museums and cultural organizations support schools and teachers by providing classroom materials, field trips, and educational opportunities and digital resources; </w:t>
      </w:r>
    </w:p>
    <w:p w14:paraId="580544B4" w14:textId="77777777" w:rsidR="006851C1" w:rsidRPr="006851C1" w:rsidRDefault="00B61A01" w:rsidP="006851C1">
      <w:pPr>
        <w:pStyle w:val="ListParagraph"/>
        <w:numPr>
          <w:ilvl w:val="0"/>
          <w:numId w:val="3"/>
        </w:numPr>
        <w:spacing w:after="0"/>
      </w:pPr>
      <w:r w:rsidRPr="006851C1">
        <w:rPr>
          <w:b/>
          <w:bCs/>
          <w:highlight w:val="yellow"/>
        </w:rPr>
        <w:t xml:space="preserve">Out of State Investment: </w:t>
      </w:r>
      <w:r w:rsidRPr="006851C1">
        <w:rPr>
          <w:highlight w:val="yellow"/>
        </w:rPr>
        <w:t xml:space="preserve">Support from CTH increases your ability to leverage federal and private funds to advance your mission; </w:t>
      </w:r>
    </w:p>
    <w:p w14:paraId="301B08C7" w14:textId="77777777" w:rsidR="006851C1" w:rsidRPr="006851C1" w:rsidRDefault="00B61A01" w:rsidP="006851C1">
      <w:pPr>
        <w:pStyle w:val="ListParagraph"/>
        <w:numPr>
          <w:ilvl w:val="0"/>
          <w:numId w:val="3"/>
        </w:numPr>
        <w:spacing w:after="0"/>
      </w:pPr>
      <w:r w:rsidRPr="006851C1">
        <w:rPr>
          <w:b/>
          <w:bCs/>
          <w:highlight w:val="yellow"/>
        </w:rPr>
        <w:t>Cultural Vibrancy:</w:t>
      </w:r>
      <w:r w:rsidRPr="006851C1">
        <w:rPr>
          <w:highlight w:val="yellow"/>
        </w:rPr>
        <w:t xml:space="preserve"> Cultural organizations make your town a place that people want to live in and visit.</w:t>
      </w:r>
    </w:p>
    <w:p w14:paraId="07FADD9A" w14:textId="18B342EC" w:rsidR="00B61A01" w:rsidRPr="006851C1" w:rsidRDefault="00B61A01" w:rsidP="006851C1">
      <w:pPr>
        <w:pStyle w:val="ListParagraph"/>
        <w:numPr>
          <w:ilvl w:val="0"/>
          <w:numId w:val="3"/>
        </w:numPr>
        <w:spacing w:after="0"/>
      </w:pPr>
      <w:r w:rsidRPr="006851C1">
        <w:rPr>
          <w:b/>
          <w:bCs/>
          <w:highlight w:val="yellow"/>
        </w:rPr>
        <w:t xml:space="preserve">Engagement: </w:t>
      </w:r>
      <w:r w:rsidRPr="006851C1">
        <w:rPr>
          <w:highlight w:val="yellow"/>
        </w:rPr>
        <w:t>Our organizations foster a sense of community and keep residents more informed and engaged, fostering empathy and building relationships.]</w:t>
      </w:r>
    </w:p>
    <w:p w14:paraId="220359B4" w14:textId="77777777" w:rsidR="00B61A01" w:rsidRDefault="00B61A01" w:rsidP="00B61A01">
      <w:pPr>
        <w:spacing w:after="0"/>
      </w:pPr>
    </w:p>
    <w:p w14:paraId="10216CF0" w14:textId="41F8D5A7" w:rsidR="00042503" w:rsidRDefault="002D312B" w:rsidP="00B61A01">
      <w:pPr>
        <w:spacing w:after="0"/>
      </w:pPr>
      <w:r w:rsidRPr="0773E1CD">
        <w:rPr>
          <w:rFonts w:ascii="Aptos" w:eastAsia="Aptos" w:hAnsi="Aptos" w:cs="Aptos"/>
        </w:rPr>
        <w:t>C</w:t>
      </w:r>
      <w:r w:rsidR="001A5F5F" w:rsidRPr="0773E1CD">
        <w:rPr>
          <w:rFonts w:ascii="Aptos" w:eastAsia="Aptos" w:hAnsi="Aptos" w:cs="Aptos"/>
        </w:rPr>
        <w:t>onnectic</w:t>
      </w:r>
      <w:r w:rsidR="00DF48E6" w:rsidRPr="0773E1CD">
        <w:rPr>
          <w:rFonts w:ascii="Aptos" w:eastAsia="Aptos" w:hAnsi="Aptos" w:cs="Aptos"/>
        </w:rPr>
        <w:t>ut Human</w:t>
      </w:r>
      <w:r w:rsidR="0085641D" w:rsidRPr="0773E1CD">
        <w:rPr>
          <w:rFonts w:ascii="Aptos" w:eastAsia="Aptos" w:hAnsi="Aptos" w:cs="Aptos"/>
        </w:rPr>
        <w:t xml:space="preserve">ities </w:t>
      </w:r>
      <w:r w:rsidR="00E04968" w:rsidRPr="0773E1CD">
        <w:rPr>
          <w:rFonts w:ascii="Aptos" w:eastAsia="Aptos" w:hAnsi="Aptos" w:cs="Aptos"/>
        </w:rPr>
        <w:t>provides</w:t>
      </w:r>
      <w:r w:rsidR="00F97519" w:rsidRPr="0773E1CD">
        <w:rPr>
          <w:rFonts w:ascii="Aptos" w:eastAsia="Aptos" w:hAnsi="Aptos" w:cs="Aptos"/>
        </w:rPr>
        <w:t xml:space="preserve"> support</w:t>
      </w:r>
      <w:r w:rsidR="0096744D" w:rsidRPr="0773E1CD">
        <w:rPr>
          <w:rFonts w:ascii="Aptos" w:eastAsia="Aptos" w:hAnsi="Aptos" w:cs="Aptos"/>
        </w:rPr>
        <w:t xml:space="preserve"> and guid</w:t>
      </w:r>
      <w:r w:rsidR="00667155" w:rsidRPr="0773E1CD">
        <w:rPr>
          <w:rFonts w:ascii="Aptos" w:eastAsia="Aptos" w:hAnsi="Aptos" w:cs="Aptos"/>
        </w:rPr>
        <w:t xml:space="preserve">ance </w:t>
      </w:r>
      <w:r w:rsidR="006656FC" w:rsidRPr="0773E1CD">
        <w:rPr>
          <w:rFonts w:ascii="Aptos" w:eastAsia="Aptos" w:hAnsi="Aptos" w:cs="Aptos"/>
        </w:rPr>
        <w:t xml:space="preserve">to </w:t>
      </w:r>
      <w:r w:rsidR="005873E9" w:rsidRPr="0773E1CD">
        <w:rPr>
          <w:rFonts w:ascii="Aptos" w:eastAsia="Aptos" w:hAnsi="Aptos" w:cs="Aptos"/>
        </w:rPr>
        <w:t>nonprofi</w:t>
      </w:r>
      <w:r w:rsidR="0099316C" w:rsidRPr="0773E1CD">
        <w:rPr>
          <w:rFonts w:ascii="Aptos" w:eastAsia="Aptos" w:hAnsi="Aptos" w:cs="Aptos"/>
        </w:rPr>
        <w:t>t cult</w:t>
      </w:r>
      <w:r w:rsidR="00CB12EB" w:rsidRPr="0773E1CD">
        <w:rPr>
          <w:rFonts w:ascii="Aptos" w:eastAsia="Aptos" w:hAnsi="Aptos" w:cs="Aptos"/>
        </w:rPr>
        <w:t>ural o</w:t>
      </w:r>
      <w:r w:rsidR="00D25C5E" w:rsidRPr="0773E1CD">
        <w:rPr>
          <w:rFonts w:ascii="Aptos" w:eastAsia="Aptos" w:hAnsi="Aptos" w:cs="Aptos"/>
        </w:rPr>
        <w:t>rgani</w:t>
      </w:r>
      <w:r w:rsidR="00512909" w:rsidRPr="0773E1CD">
        <w:rPr>
          <w:rFonts w:ascii="Aptos" w:eastAsia="Aptos" w:hAnsi="Aptos" w:cs="Aptos"/>
        </w:rPr>
        <w:t>zations a</w:t>
      </w:r>
      <w:r w:rsidR="00EF7992" w:rsidRPr="0773E1CD">
        <w:rPr>
          <w:rFonts w:ascii="Aptos" w:eastAsia="Aptos" w:hAnsi="Aptos" w:cs="Aptos"/>
        </w:rPr>
        <w:t>nd</w:t>
      </w:r>
      <w:r w:rsidR="002D6971" w:rsidRPr="0773E1CD">
        <w:rPr>
          <w:rFonts w:ascii="Aptos" w:eastAsia="Aptos" w:hAnsi="Aptos" w:cs="Aptos"/>
        </w:rPr>
        <w:t xml:space="preserve"> </w:t>
      </w:r>
      <w:r w:rsidR="00ED5A2F" w:rsidRPr="0773E1CD">
        <w:rPr>
          <w:rFonts w:ascii="Aptos" w:eastAsia="Aptos" w:hAnsi="Aptos" w:cs="Aptos"/>
        </w:rPr>
        <w:t>acc</w:t>
      </w:r>
      <w:r w:rsidR="005D5687" w:rsidRPr="0773E1CD">
        <w:rPr>
          <w:rFonts w:ascii="Aptos" w:eastAsia="Aptos" w:hAnsi="Aptos" w:cs="Aptos"/>
        </w:rPr>
        <w:t xml:space="preserve">ountability </w:t>
      </w:r>
      <w:r w:rsidR="009A3CBE" w:rsidRPr="0773E1CD">
        <w:rPr>
          <w:rFonts w:ascii="Aptos" w:eastAsia="Aptos" w:hAnsi="Aptos" w:cs="Aptos"/>
        </w:rPr>
        <w:t>on behal</w:t>
      </w:r>
      <w:r w:rsidR="006C37A5" w:rsidRPr="0773E1CD">
        <w:rPr>
          <w:rFonts w:ascii="Aptos" w:eastAsia="Aptos" w:hAnsi="Aptos" w:cs="Aptos"/>
        </w:rPr>
        <w:t xml:space="preserve">f of </w:t>
      </w:r>
      <w:r w:rsidR="00224DC0" w:rsidRPr="0773E1CD">
        <w:rPr>
          <w:rFonts w:ascii="Aptos" w:eastAsia="Aptos" w:hAnsi="Aptos" w:cs="Aptos"/>
        </w:rPr>
        <w:t>Conn</w:t>
      </w:r>
      <w:r w:rsidR="00A845A3" w:rsidRPr="0773E1CD">
        <w:rPr>
          <w:rFonts w:ascii="Aptos" w:eastAsia="Aptos" w:hAnsi="Aptos" w:cs="Aptos"/>
        </w:rPr>
        <w:t xml:space="preserve">ecticut </w:t>
      </w:r>
      <w:r w:rsidR="00F96616" w:rsidRPr="0773E1CD">
        <w:rPr>
          <w:rFonts w:ascii="Aptos" w:eastAsia="Aptos" w:hAnsi="Aptos" w:cs="Aptos"/>
        </w:rPr>
        <w:t>residents.</w:t>
      </w:r>
      <w:r w:rsidR="0031183B" w:rsidRPr="0773E1CD">
        <w:rPr>
          <w:rFonts w:ascii="Aptos" w:eastAsia="Aptos" w:hAnsi="Aptos" w:cs="Aptos"/>
        </w:rPr>
        <w:t xml:space="preserve"> </w:t>
      </w:r>
      <w:r w:rsidR="34081BD6" w:rsidRPr="40B30B54">
        <w:rPr>
          <w:rFonts w:ascii="Aptos" w:eastAsia="Aptos" w:hAnsi="Aptos" w:cs="Aptos"/>
        </w:rPr>
        <w:t xml:space="preserve">During the past four years, in partnership with DECD, </w:t>
      </w:r>
      <w:r w:rsidR="001D2966" w:rsidRPr="40B30B54">
        <w:rPr>
          <w:rFonts w:ascii="Aptos" w:eastAsia="Aptos" w:hAnsi="Aptos" w:cs="Aptos"/>
        </w:rPr>
        <w:t>CTH</w:t>
      </w:r>
      <w:r w:rsidR="00E41CAC" w:rsidRPr="40B30B54">
        <w:rPr>
          <w:rFonts w:ascii="Aptos" w:eastAsia="Aptos" w:hAnsi="Aptos" w:cs="Aptos"/>
        </w:rPr>
        <w:t xml:space="preserve"> administ</w:t>
      </w:r>
      <w:r w:rsidR="0086202F" w:rsidRPr="40B30B54">
        <w:rPr>
          <w:rFonts w:ascii="Aptos" w:eastAsia="Aptos" w:hAnsi="Aptos" w:cs="Aptos"/>
        </w:rPr>
        <w:t>ered</w:t>
      </w:r>
      <w:r w:rsidR="00A54596" w:rsidRPr="40B30B54">
        <w:rPr>
          <w:rFonts w:ascii="Aptos" w:eastAsia="Aptos" w:hAnsi="Aptos" w:cs="Aptos"/>
        </w:rPr>
        <w:t xml:space="preserve"> </w:t>
      </w:r>
      <w:r w:rsidR="34081BD6" w:rsidRPr="40B30B54">
        <w:rPr>
          <w:rFonts w:ascii="Aptos" w:eastAsia="Aptos" w:hAnsi="Aptos" w:cs="Aptos"/>
        </w:rPr>
        <w:t>nearly $60M</w:t>
      </w:r>
      <w:r w:rsidR="00F26CDA" w:rsidRPr="40B30B54">
        <w:rPr>
          <w:rFonts w:ascii="Aptos" w:eastAsia="Aptos" w:hAnsi="Aptos" w:cs="Aptos"/>
        </w:rPr>
        <w:t xml:space="preserve"> </w:t>
      </w:r>
      <w:r w:rsidR="001E4BDE" w:rsidRPr="40B30B54">
        <w:rPr>
          <w:rFonts w:ascii="Aptos" w:eastAsia="Aptos" w:hAnsi="Aptos" w:cs="Aptos"/>
        </w:rPr>
        <w:t xml:space="preserve">in </w:t>
      </w:r>
      <w:r w:rsidR="00344EEA" w:rsidRPr="40B30B54">
        <w:rPr>
          <w:rFonts w:ascii="Aptos" w:eastAsia="Aptos" w:hAnsi="Aptos" w:cs="Aptos"/>
        </w:rPr>
        <w:t xml:space="preserve">state </w:t>
      </w:r>
      <w:r w:rsidR="005F3770" w:rsidRPr="40B30B54">
        <w:rPr>
          <w:rFonts w:ascii="Aptos" w:eastAsia="Aptos" w:hAnsi="Aptos" w:cs="Aptos"/>
        </w:rPr>
        <w:t>grants</w:t>
      </w:r>
      <w:r w:rsidR="007838E6" w:rsidRPr="40B30B54">
        <w:rPr>
          <w:rFonts w:ascii="Aptos" w:eastAsia="Aptos" w:hAnsi="Aptos" w:cs="Aptos"/>
        </w:rPr>
        <w:t xml:space="preserve"> to su</w:t>
      </w:r>
      <w:r w:rsidR="00791E7D" w:rsidRPr="40B30B54">
        <w:rPr>
          <w:rFonts w:ascii="Aptos" w:eastAsia="Aptos" w:hAnsi="Aptos" w:cs="Aptos"/>
        </w:rPr>
        <w:t xml:space="preserve">pport </w:t>
      </w:r>
      <w:r w:rsidR="34081BD6" w:rsidRPr="40B30B54">
        <w:rPr>
          <w:rFonts w:ascii="Aptos" w:eastAsia="Aptos" w:hAnsi="Aptos" w:cs="Aptos"/>
        </w:rPr>
        <w:t>cultural investments</w:t>
      </w:r>
      <w:r w:rsidR="00CC4592" w:rsidRPr="40B30B54">
        <w:rPr>
          <w:rFonts w:ascii="Aptos" w:eastAsia="Aptos" w:hAnsi="Aptos" w:cs="Aptos"/>
        </w:rPr>
        <w:t xml:space="preserve"> </w:t>
      </w:r>
      <w:r w:rsidR="00183001" w:rsidRPr="40B30B54">
        <w:rPr>
          <w:rFonts w:ascii="Aptos" w:eastAsia="Aptos" w:hAnsi="Aptos" w:cs="Aptos"/>
        </w:rPr>
        <w:t>through the</w:t>
      </w:r>
      <w:r w:rsidR="00F41E35" w:rsidRPr="40B30B54">
        <w:rPr>
          <w:rFonts w:ascii="Aptos" w:eastAsia="Aptos" w:hAnsi="Aptos" w:cs="Aptos"/>
        </w:rPr>
        <w:t xml:space="preserve"> Conn</w:t>
      </w:r>
      <w:r w:rsidR="006A75C7" w:rsidRPr="40B30B54">
        <w:rPr>
          <w:rFonts w:ascii="Aptos" w:eastAsia="Aptos" w:hAnsi="Aptos" w:cs="Aptos"/>
        </w:rPr>
        <w:t>ecticut H</w:t>
      </w:r>
      <w:r w:rsidR="007D3FFB" w:rsidRPr="40B30B54">
        <w:rPr>
          <w:rFonts w:ascii="Aptos" w:eastAsia="Aptos" w:hAnsi="Aptos" w:cs="Aptos"/>
        </w:rPr>
        <w:t>umanit</w:t>
      </w:r>
      <w:r w:rsidR="00BB2405" w:rsidRPr="40B30B54">
        <w:rPr>
          <w:rFonts w:ascii="Aptos" w:eastAsia="Aptos" w:hAnsi="Aptos" w:cs="Aptos"/>
        </w:rPr>
        <w:t>ies Fund</w:t>
      </w:r>
      <w:r w:rsidR="34081BD6" w:rsidRPr="40B30B54">
        <w:rPr>
          <w:rFonts w:ascii="Aptos" w:eastAsia="Aptos" w:hAnsi="Aptos" w:cs="Aptos"/>
        </w:rPr>
        <w:t>,</w:t>
      </w:r>
      <w:r w:rsidR="00A4248F" w:rsidRPr="40B30B54">
        <w:rPr>
          <w:rFonts w:ascii="Aptos" w:eastAsia="Aptos" w:hAnsi="Aptos" w:cs="Aptos"/>
        </w:rPr>
        <w:t xml:space="preserve"> C</w:t>
      </w:r>
      <w:r w:rsidR="00E063A2" w:rsidRPr="40B30B54">
        <w:rPr>
          <w:rFonts w:ascii="Aptos" w:eastAsia="Aptos" w:hAnsi="Aptos" w:cs="Aptos"/>
        </w:rPr>
        <w:t>onnecticu</w:t>
      </w:r>
      <w:r w:rsidR="004F3DB7" w:rsidRPr="40B30B54">
        <w:rPr>
          <w:rFonts w:ascii="Aptos" w:eastAsia="Aptos" w:hAnsi="Aptos" w:cs="Aptos"/>
        </w:rPr>
        <w:t>t Cult</w:t>
      </w:r>
      <w:r w:rsidR="00F8772A" w:rsidRPr="40B30B54">
        <w:rPr>
          <w:rFonts w:ascii="Aptos" w:eastAsia="Aptos" w:hAnsi="Aptos" w:cs="Aptos"/>
        </w:rPr>
        <w:t xml:space="preserve">ural </w:t>
      </w:r>
      <w:r w:rsidR="003E3D78" w:rsidRPr="40B30B54">
        <w:rPr>
          <w:rFonts w:ascii="Aptos" w:eastAsia="Aptos" w:hAnsi="Aptos" w:cs="Aptos"/>
        </w:rPr>
        <w:t>Fund</w:t>
      </w:r>
      <w:r w:rsidR="34081BD6" w:rsidRPr="40B30B54">
        <w:rPr>
          <w:rFonts w:ascii="Aptos" w:eastAsia="Aptos" w:hAnsi="Aptos" w:cs="Aptos"/>
        </w:rPr>
        <w:t xml:space="preserve">, </w:t>
      </w:r>
      <w:r w:rsidR="008178BA" w:rsidRPr="40B30B54">
        <w:rPr>
          <w:rFonts w:ascii="Aptos" w:eastAsia="Aptos" w:hAnsi="Aptos" w:cs="Aptos"/>
        </w:rPr>
        <w:t>Conn</w:t>
      </w:r>
      <w:r w:rsidR="00CB7FE5" w:rsidRPr="40B30B54">
        <w:rPr>
          <w:rFonts w:ascii="Aptos" w:eastAsia="Aptos" w:hAnsi="Aptos" w:cs="Aptos"/>
        </w:rPr>
        <w:t>ecticut Su</w:t>
      </w:r>
      <w:r w:rsidR="00E21242" w:rsidRPr="40B30B54">
        <w:rPr>
          <w:rFonts w:ascii="Aptos" w:eastAsia="Aptos" w:hAnsi="Aptos" w:cs="Aptos"/>
        </w:rPr>
        <w:t>mmer at t</w:t>
      </w:r>
      <w:r w:rsidR="00D27B54" w:rsidRPr="40B30B54">
        <w:rPr>
          <w:rFonts w:ascii="Aptos" w:eastAsia="Aptos" w:hAnsi="Aptos" w:cs="Aptos"/>
        </w:rPr>
        <w:t>he Muse</w:t>
      </w:r>
      <w:r w:rsidR="005F7819" w:rsidRPr="40B30B54">
        <w:rPr>
          <w:rFonts w:ascii="Aptos" w:eastAsia="Aptos" w:hAnsi="Aptos" w:cs="Aptos"/>
        </w:rPr>
        <w:t>um</w:t>
      </w:r>
      <w:r w:rsidR="34081BD6" w:rsidRPr="40B30B54">
        <w:rPr>
          <w:rFonts w:ascii="Aptos" w:eastAsia="Aptos" w:hAnsi="Aptos" w:cs="Aptos"/>
        </w:rPr>
        <w:t xml:space="preserve">, and Good to Great 2.0. </w:t>
      </w:r>
      <w:r w:rsidR="00D17494" w:rsidRPr="40B30B54">
        <w:rPr>
          <w:rFonts w:ascii="Aptos" w:eastAsia="Aptos" w:hAnsi="Aptos" w:cs="Aptos"/>
        </w:rPr>
        <w:t xml:space="preserve"> </w:t>
      </w:r>
    </w:p>
    <w:p w14:paraId="71DE9870" w14:textId="77777777" w:rsidR="001B0614" w:rsidRDefault="001B0614" w:rsidP="00B61A01">
      <w:pPr>
        <w:spacing w:after="0"/>
      </w:pPr>
    </w:p>
    <w:p w14:paraId="2A1FF8CA" w14:textId="77777777" w:rsidR="0003007D" w:rsidRDefault="0003007D" w:rsidP="00B61A01">
      <w:pPr>
        <w:spacing w:after="0"/>
      </w:pPr>
    </w:p>
    <w:p w14:paraId="72249FEB" w14:textId="38F856A0" w:rsidR="00B61A01" w:rsidRDefault="00B61A01" w:rsidP="00B61A01">
      <w:pPr>
        <w:spacing w:after="0"/>
      </w:pPr>
      <w:r w:rsidRPr="00B61A01">
        <w:t xml:space="preserve">Sincerely, </w:t>
      </w:r>
    </w:p>
    <w:p w14:paraId="6C3CB36C" w14:textId="77777777" w:rsidR="00B61A01" w:rsidRDefault="00B61A01" w:rsidP="00B61A01">
      <w:pPr>
        <w:spacing w:after="0"/>
      </w:pPr>
    </w:p>
    <w:p w14:paraId="44D7AE58" w14:textId="279DF219" w:rsidR="00173306" w:rsidRPr="00111228" w:rsidRDefault="00B61A01" w:rsidP="00B61A01">
      <w:pPr>
        <w:spacing w:after="0"/>
        <w:rPr>
          <w:highlight w:val="yellow"/>
        </w:rPr>
      </w:pPr>
      <w:r w:rsidRPr="00111228">
        <w:rPr>
          <w:highlight w:val="yellow"/>
        </w:rPr>
        <w:t>Name</w:t>
      </w:r>
    </w:p>
    <w:p w14:paraId="1375F05B" w14:textId="0056CA66" w:rsidR="00111228" w:rsidRPr="00111228" w:rsidRDefault="00111228" w:rsidP="00B61A01">
      <w:pPr>
        <w:spacing w:after="0"/>
        <w:rPr>
          <w:highlight w:val="yellow"/>
        </w:rPr>
      </w:pPr>
      <w:r w:rsidRPr="00111228">
        <w:rPr>
          <w:highlight w:val="yellow"/>
        </w:rPr>
        <w:t>Title</w:t>
      </w:r>
    </w:p>
    <w:p w14:paraId="41A7F3FB" w14:textId="68513BED" w:rsidR="00111228" w:rsidRPr="00111228" w:rsidRDefault="00111228" w:rsidP="00B61A01">
      <w:pPr>
        <w:spacing w:after="0"/>
        <w:rPr>
          <w:highlight w:val="yellow"/>
        </w:rPr>
      </w:pPr>
      <w:r w:rsidRPr="00111228">
        <w:rPr>
          <w:highlight w:val="yellow"/>
        </w:rPr>
        <w:t>Organization</w:t>
      </w:r>
    </w:p>
    <w:p w14:paraId="28F925FD" w14:textId="07CC6D77" w:rsidR="00B61A01" w:rsidRPr="00111228" w:rsidRDefault="00B61A01" w:rsidP="00B61A01">
      <w:pPr>
        <w:spacing w:after="0"/>
        <w:rPr>
          <w:highlight w:val="yellow"/>
        </w:rPr>
      </w:pPr>
      <w:r w:rsidRPr="00111228">
        <w:rPr>
          <w:highlight w:val="yellow"/>
        </w:rPr>
        <w:t>Address</w:t>
      </w:r>
    </w:p>
    <w:p w14:paraId="5DAEBFCF" w14:textId="40C8AC46" w:rsidR="00B61A01" w:rsidRDefault="00111228" w:rsidP="00B61A01">
      <w:pPr>
        <w:spacing w:after="0"/>
      </w:pPr>
      <w:r w:rsidRPr="00111228">
        <w:rPr>
          <w:highlight w:val="yellow"/>
        </w:rPr>
        <w:t>Contact Information</w:t>
      </w:r>
    </w:p>
    <w:sectPr w:rsidR="00B61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B1383"/>
    <w:multiLevelType w:val="hybridMultilevel"/>
    <w:tmpl w:val="81E489EE"/>
    <w:lvl w:ilvl="0" w:tplc="2E42042C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C079B"/>
    <w:multiLevelType w:val="hybridMultilevel"/>
    <w:tmpl w:val="D480F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01DB8"/>
    <w:multiLevelType w:val="hybridMultilevel"/>
    <w:tmpl w:val="B4C8E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456803">
    <w:abstractNumId w:val="0"/>
  </w:num>
  <w:num w:numId="2" w16cid:durableId="700936522">
    <w:abstractNumId w:val="1"/>
  </w:num>
  <w:num w:numId="3" w16cid:durableId="2121412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01"/>
    <w:rsid w:val="0003007D"/>
    <w:rsid w:val="00041121"/>
    <w:rsid w:val="00042503"/>
    <w:rsid w:val="00061B91"/>
    <w:rsid w:val="00071765"/>
    <w:rsid w:val="000A2E4F"/>
    <w:rsid w:val="000C3976"/>
    <w:rsid w:val="000D03C2"/>
    <w:rsid w:val="000D5861"/>
    <w:rsid w:val="000F1F26"/>
    <w:rsid w:val="00111228"/>
    <w:rsid w:val="00173306"/>
    <w:rsid w:val="00183001"/>
    <w:rsid w:val="001A5F5F"/>
    <w:rsid w:val="001B0614"/>
    <w:rsid w:val="001D2966"/>
    <w:rsid w:val="001E0710"/>
    <w:rsid w:val="001E4BDE"/>
    <w:rsid w:val="00215C9A"/>
    <w:rsid w:val="00224DC0"/>
    <w:rsid w:val="00265226"/>
    <w:rsid w:val="00291F14"/>
    <w:rsid w:val="002A67A6"/>
    <w:rsid w:val="002B0C0F"/>
    <w:rsid w:val="002B457B"/>
    <w:rsid w:val="002D1798"/>
    <w:rsid w:val="002D312B"/>
    <w:rsid w:val="002D6971"/>
    <w:rsid w:val="003025A0"/>
    <w:rsid w:val="003112DE"/>
    <w:rsid w:val="0031183B"/>
    <w:rsid w:val="00315965"/>
    <w:rsid w:val="003360BB"/>
    <w:rsid w:val="00336EC1"/>
    <w:rsid w:val="00344EEA"/>
    <w:rsid w:val="00376FE9"/>
    <w:rsid w:val="00391FED"/>
    <w:rsid w:val="003A3EAF"/>
    <w:rsid w:val="003E3D78"/>
    <w:rsid w:val="00416546"/>
    <w:rsid w:val="0042562E"/>
    <w:rsid w:val="00442640"/>
    <w:rsid w:val="00446141"/>
    <w:rsid w:val="00471ADA"/>
    <w:rsid w:val="00475974"/>
    <w:rsid w:val="00495C7D"/>
    <w:rsid w:val="004D165D"/>
    <w:rsid w:val="004F3DB7"/>
    <w:rsid w:val="00512207"/>
    <w:rsid w:val="00512909"/>
    <w:rsid w:val="005210D5"/>
    <w:rsid w:val="00542561"/>
    <w:rsid w:val="005873E9"/>
    <w:rsid w:val="005C2173"/>
    <w:rsid w:val="005C4A6E"/>
    <w:rsid w:val="005D5466"/>
    <w:rsid w:val="005D5687"/>
    <w:rsid w:val="005F3770"/>
    <w:rsid w:val="005F40F4"/>
    <w:rsid w:val="005F7819"/>
    <w:rsid w:val="006469A8"/>
    <w:rsid w:val="00650683"/>
    <w:rsid w:val="00652037"/>
    <w:rsid w:val="006656FC"/>
    <w:rsid w:val="00667155"/>
    <w:rsid w:val="006851C1"/>
    <w:rsid w:val="00693F91"/>
    <w:rsid w:val="006A4F7D"/>
    <w:rsid w:val="006A5963"/>
    <w:rsid w:val="006A75C7"/>
    <w:rsid w:val="006C37A5"/>
    <w:rsid w:val="006D7A2C"/>
    <w:rsid w:val="00701589"/>
    <w:rsid w:val="00724194"/>
    <w:rsid w:val="00730C7A"/>
    <w:rsid w:val="0077035E"/>
    <w:rsid w:val="00772EFE"/>
    <w:rsid w:val="007838E6"/>
    <w:rsid w:val="00791E7D"/>
    <w:rsid w:val="00796932"/>
    <w:rsid w:val="007A25ED"/>
    <w:rsid w:val="007D1F14"/>
    <w:rsid w:val="007D2E9A"/>
    <w:rsid w:val="007D3FFB"/>
    <w:rsid w:val="007D479C"/>
    <w:rsid w:val="007D7D94"/>
    <w:rsid w:val="007E02F1"/>
    <w:rsid w:val="008178BA"/>
    <w:rsid w:val="00820636"/>
    <w:rsid w:val="00823E0D"/>
    <w:rsid w:val="0083475C"/>
    <w:rsid w:val="00840A2A"/>
    <w:rsid w:val="0085641D"/>
    <w:rsid w:val="0086202F"/>
    <w:rsid w:val="008907FD"/>
    <w:rsid w:val="0089656C"/>
    <w:rsid w:val="008A0599"/>
    <w:rsid w:val="008D6EEA"/>
    <w:rsid w:val="009005C0"/>
    <w:rsid w:val="00916AFD"/>
    <w:rsid w:val="00920862"/>
    <w:rsid w:val="00924D1A"/>
    <w:rsid w:val="0096744D"/>
    <w:rsid w:val="00980409"/>
    <w:rsid w:val="0099316C"/>
    <w:rsid w:val="00995040"/>
    <w:rsid w:val="00997F52"/>
    <w:rsid w:val="009A3CBE"/>
    <w:rsid w:val="009E7112"/>
    <w:rsid w:val="00A134DE"/>
    <w:rsid w:val="00A16AB6"/>
    <w:rsid w:val="00A4248F"/>
    <w:rsid w:val="00A54596"/>
    <w:rsid w:val="00A845A3"/>
    <w:rsid w:val="00A87152"/>
    <w:rsid w:val="00A9070D"/>
    <w:rsid w:val="00B00AFE"/>
    <w:rsid w:val="00B36F3F"/>
    <w:rsid w:val="00B408D4"/>
    <w:rsid w:val="00B61A01"/>
    <w:rsid w:val="00BB2405"/>
    <w:rsid w:val="00BE0C80"/>
    <w:rsid w:val="00BE437C"/>
    <w:rsid w:val="00BF369C"/>
    <w:rsid w:val="00BF693B"/>
    <w:rsid w:val="00C33AF4"/>
    <w:rsid w:val="00C462E1"/>
    <w:rsid w:val="00C47425"/>
    <w:rsid w:val="00C91D44"/>
    <w:rsid w:val="00C92C49"/>
    <w:rsid w:val="00C95108"/>
    <w:rsid w:val="00CA7930"/>
    <w:rsid w:val="00CB1023"/>
    <w:rsid w:val="00CB12EB"/>
    <w:rsid w:val="00CB7FE5"/>
    <w:rsid w:val="00CC4592"/>
    <w:rsid w:val="00CE7356"/>
    <w:rsid w:val="00D12162"/>
    <w:rsid w:val="00D17494"/>
    <w:rsid w:val="00D25C5E"/>
    <w:rsid w:val="00D27B54"/>
    <w:rsid w:val="00D31DA5"/>
    <w:rsid w:val="00D562D9"/>
    <w:rsid w:val="00D56305"/>
    <w:rsid w:val="00D83314"/>
    <w:rsid w:val="00DC195B"/>
    <w:rsid w:val="00DD4300"/>
    <w:rsid w:val="00DF48E6"/>
    <w:rsid w:val="00E04968"/>
    <w:rsid w:val="00E063A2"/>
    <w:rsid w:val="00E21242"/>
    <w:rsid w:val="00E34946"/>
    <w:rsid w:val="00E41CAC"/>
    <w:rsid w:val="00E427EE"/>
    <w:rsid w:val="00E748AC"/>
    <w:rsid w:val="00E92991"/>
    <w:rsid w:val="00ED0994"/>
    <w:rsid w:val="00ED5A2F"/>
    <w:rsid w:val="00EF0C6C"/>
    <w:rsid w:val="00EF7992"/>
    <w:rsid w:val="00F23DEA"/>
    <w:rsid w:val="00F26CDA"/>
    <w:rsid w:val="00F41A0B"/>
    <w:rsid w:val="00F41E35"/>
    <w:rsid w:val="00F66434"/>
    <w:rsid w:val="00F87235"/>
    <w:rsid w:val="00F8772A"/>
    <w:rsid w:val="00F917EE"/>
    <w:rsid w:val="00F96616"/>
    <w:rsid w:val="00F97519"/>
    <w:rsid w:val="00FB74E6"/>
    <w:rsid w:val="00FC24F8"/>
    <w:rsid w:val="00FE5CDF"/>
    <w:rsid w:val="073EC52D"/>
    <w:rsid w:val="0773E1CD"/>
    <w:rsid w:val="0D5FC6F5"/>
    <w:rsid w:val="133D37A3"/>
    <w:rsid w:val="141AD4AD"/>
    <w:rsid w:val="193E7BA9"/>
    <w:rsid w:val="1C693D13"/>
    <w:rsid w:val="2D979F11"/>
    <w:rsid w:val="34081BD6"/>
    <w:rsid w:val="3A037756"/>
    <w:rsid w:val="40B30B54"/>
    <w:rsid w:val="42A9CFB8"/>
    <w:rsid w:val="46AD314B"/>
    <w:rsid w:val="48FDAB31"/>
    <w:rsid w:val="4A09D0E5"/>
    <w:rsid w:val="623B5463"/>
    <w:rsid w:val="624C803C"/>
    <w:rsid w:val="649972F7"/>
    <w:rsid w:val="7380D29D"/>
    <w:rsid w:val="7A08E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09FC5"/>
  <w15:chartTrackingRefBased/>
  <w15:docId w15:val="{8D94184A-1F6C-4831-8C2C-FBB141A1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A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1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1A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1A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A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1A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1A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1A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1A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1A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1A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1A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1A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A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1A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1A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1A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1A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1A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1A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1A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1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1A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1A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1A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1A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1A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1A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8581d5-80ca-4711-a34d-f03d42bf8737">
      <Terms xmlns="http://schemas.microsoft.com/office/infopath/2007/PartnerControls"/>
    </lcf76f155ced4ddcb4097134ff3c332f>
    <TaxCatchAll xmlns="f285b2d6-c176-4f33-a9e0-dfabbe9cb6b0" xsi:nil="true"/>
    <_Flow_SignoffStatus xmlns="838581d5-80ca-4711-a34d-f03d42bf873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977CA1C6651543AB3FFA8AAED376A9" ma:contentTypeVersion="19" ma:contentTypeDescription="Create a new document." ma:contentTypeScope="" ma:versionID="18aaa0c30dbebd18841288c121601ff6">
  <xsd:schema xmlns:xsd="http://www.w3.org/2001/XMLSchema" xmlns:xs="http://www.w3.org/2001/XMLSchema" xmlns:p="http://schemas.microsoft.com/office/2006/metadata/properties" xmlns:ns2="f285b2d6-c176-4f33-a9e0-dfabbe9cb6b0" xmlns:ns3="838581d5-80ca-4711-a34d-f03d42bf8737" targetNamespace="http://schemas.microsoft.com/office/2006/metadata/properties" ma:root="true" ma:fieldsID="48a7d7eedbc00ad90db415017ecebe2e" ns2:_="" ns3:_="">
    <xsd:import namespace="f285b2d6-c176-4f33-a9e0-dfabbe9cb6b0"/>
    <xsd:import namespace="838581d5-80ca-4711-a34d-f03d42bf87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5b2d6-c176-4f33-a9e0-dfabbe9cb6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0edb1b-729b-4c1e-a2e2-9f46bf0ab4d8}" ma:internalName="TaxCatchAll" ma:showField="CatchAllData" ma:web="f285b2d6-c176-4f33-a9e0-dfabbe9cb6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581d5-80ca-4711-a34d-f03d42bf8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c646570-f555-49da-aaca-f317b5f4bb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31218E-66EA-4902-90FE-103D33578D97}">
  <ds:schemaRefs>
    <ds:schemaRef ds:uri="http://schemas.microsoft.com/office/2006/metadata/properties"/>
    <ds:schemaRef ds:uri="http://schemas.microsoft.com/office/infopath/2007/PartnerControls"/>
    <ds:schemaRef ds:uri="838581d5-80ca-4711-a34d-f03d42bf8737"/>
    <ds:schemaRef ds:uri="f285b2d6-c176-4f33-a9e0-dfabbe9cb6b0"/>
  </ds:schemaRefs>
</ds:datastoreItem>
</file>

<file path=customXml/itemProps2.xml><?xml version="1.0" encoding="utf-8"?>
<ds:datastoreItem xmlns:ds="http://schemas.openxmlformats.org/officeDocument/2006/customXml" ds:itemID="{275A48D7-2A80-4767-ACAE-A936602DA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5b2d6-c176-4f33-a9e0-dfabbe9cb6b0"/>
    <ds:schemaRef ds:uri="838581d5-80ca-4711-a34d-f03d42bf8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DAC04B-F9FA-4E2D-80ED-088C98F8A3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Cyndi Tolosa</dc:creator>
  <cp:keywords/>
  <dc:description/>
  <cp:lastModifiedBy>Dana Barcellos-Allen</cp:lastModifiedBy>
  <cp:revision>3</cp:revision>
  <dcterms:created xsi:type="dcterms:W3CDTF">2025-04-01T17:14:00Z</dcterms:created>
  <dcterms:modified xsi:type="dcterms:W3CDTF">2025-04-03T20:26:00Z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0x010100FE977CA1C6651543AB3FFA8AAED376A9</vt:lpwstr>
  </property>
  <property fmtid="{D5CDD505-2E9C-101B-9397-08002B2CF9AE}" pid="3" name="MediaServiceImageTags">
    <vt:lpwstr/>
  </property>
</Properties>
</file>